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Літературний процес на межі XIX - XX ст. Нові пошуки в поезії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sz w:val="24"/>
          <w:szCs w:val="24"/>
          <w:lang w:eastAsia="ru-RU"/>
        </w:rPr>
        <w:t> 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В останні десятиліття XIX -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на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початку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XX ст. у європейських і американській літературах з’являються нові течії й тенденції, виникають нові домінанти розвитку, що дають можливість говорити про зміну літературних епох. Цей період у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р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ізних країнах називають по-різному: «кінець століття», «доба неоромантизму», «доба декадансу» тощо.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Слово «декаданс» (що в перекладі з французької означає «занепад») не без виклику громадськості в середині 80-х років XIX ст. обрала собі за назву група молодих паризьких поеті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в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, які об’єдналися навколо однойменного журналу. Далі змі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ст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цього слова розширився, охопивши течії та тенденції тогочасної літератури, позначені настроями занепадництва, що ставали дедалі популярнішими.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Декаданс — культурний феномен межі XIX - XX ст., якому притаманний специфічний умонастрій «кінця століття». Його серцевину становить «потяг до занепаду», перетворений на джерело витончених переживань, поєднаних з естетством, «служінням красі» й відмовою митців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в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ід суспільних і моральних зобов’язань. Характерним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для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декадансу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є все присмеркове, позначене хворобливістю і згасанням, що розцінюється як вершина витонченості й одуховленості. Позбавлений власної художньої системи, декаданс використовував виражальні засоби, витворені тогочасними напрямами й течіями — натуралізмом, імпресіонізмом, неоромантизмом, символізмом тощо. При цьому декаданс не закріплений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за певною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течією.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Нові тенденції в художній творчості були пов’язані зі зрушеннями й змінами в суспільному житті, з кризовими явищами «класичного» капіталізму, які на межі століть виявляються дедалі гостріше і вже на початку XX ст. вибухають Першою світовою війною, а далі — революціями й встановленням тоталітарних режимів у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Р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осії, Італії, Німеччині та інших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країнах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Однак зміни в царині мистецтва не є прямим наслідком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соц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іально-економічних процесів. Вони безпосередньо випливають з тих змін і зрушень, що відбуваються у світосприйнятті епохи, у громадській та індивідуальній свідомості, і є їхнім художнім узагальненням та висловленням.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У цьому аспекті межу XIX - XX ст. можна розглядати як початок кризи гуманістичної культури, започаткованої добою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ідродження, перегляд і заперечення її принципів та цінностей.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Св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ітоглядною основою гуманістичної культури була «філософія розуму» — у широкому розумінні базового світоглядного принципу, притаманного освіченим верствам. На межі XIX - XX ст. гегемонія розуму й віри в можливість раціонального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п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ізнання і впорядкування буття завершується. Ця віра засновувалася на постулаті тотожності буття й мислення, на впевненості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в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тому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, що </w:t>
      </w: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lastRenderedPageBreak/>
        <w:t xml:space="preserve">людські поняття й уявлення ідентичні законам та структурам буття і є їхніми специфічними відповідниками. Розчарування в можливостях раціонального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п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ізнання світу, у «всесильності розуму» породжує інтерес до царини підсвідомого та безсвідомого і його масштабне входження в духовну й художню культуру. На зміну «філософії розуму» приходить «філософія життя», яка проголошує першоосновою буття життєву стихію, що не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п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іддається раціональному пізнанню й осягається ірраціонально — за допомогою інтуїції.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Першим речником нової філософії був німецький мислитель Ф. Ніцше, інший її варіант знаходимо у французького філософа А. Бергсона. Ця філософія справила величезний вплив на тогочасну літературу, на письменників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р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ізних напрямів і течій — від К. Гамсуна й М. Пруста до Максима Горького та В. Винниченка. «Філософія життя» — це не лише певні філософські вчення, а й концентроване втілення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св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ітовідчуття й світорозуміння межі століть. її можна схарактеризувати як найбільш відповідну літературі раннього модернізму. Зазначимо два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чи не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найсуттєвіших моменти. По-перше, «філософія життя» висунула принципово іншу концепцію людини, визначивши її як істоту ірраціональну й неоднозначну, двоїсту,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п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ідвладну передусім несвідомим імпульсам і бажанням. По-друге, вона дала поштовх і обґрунтування тому «поверненню до міфу», яке відбувалося в духовній культурі, й зокрема в літературі, наприкінці XIX - на початку XX ст. У «філософії життя» традиційна настанова на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п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ізнання, пошук істини замінюється настановою на «міф», у якому здійснюється творчо-вольовий підхід до буття. «Тільки горизонт, побудований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на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основі міфу, — проголосив Ф. Ніцше, — може привести цілий культурний рух до завершення». Особлива цінність міфу вбачалася в тому, що він залучає до духовної творчості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п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ідсвідоме і відкриває мистецтву можливість виражати повноту й органічну цілісність світовідчуття.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Отже, за своїми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св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ітоглядно-естетичними засадами література наприкінці XIX - на початку XX ст. дуже відрізняється від літератури попередньої доби. Тій був властивий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п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ізнавальний оптимізм, упевненість у тому, що світ, людське буття піддаються пізнанню й витлумаченню аж до їхніх першооснов і першопричин. Письменники-реалісти не ігнорували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п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ідсвідоме, інтуїцію в цьому процесі, але основну роль відводили раціональному началу, розуму. На межі століть ця впевненість втрачається, акцент у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св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ітосприйнятті переноситься на ірраціональність, інтуїцію, на внутрішні осяяння й прозрівання. А. Бергсон доводить, що розум не здатен проникати в потаємність життя й адекватно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його в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ідображати.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Св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ідомість ковзає по поверхні існування, намагаючись проаналізувати його з допомогою готових мисленнєвих схем і застиглих елементів. Цей поріг переступає лише інтуїція: глибинні сутності життя, його невпинний саморух інтуїтивно осягаються, а не розкриваються за допомогою раціонального аналізу, що, за Бергсоном, має особливе значення для художньої творчості.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Межа XIX - XX ст. характеризується урізноманітненням і ускладненням літературного процесу на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р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ізних його рівнях.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Так, якщо за попередньої </w:t>
      </w: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lastRenderedPageBreak/>
        <w:t>епохи, від початку XIX ст. і до останніх його десятиліть, існували дві великі художні системи — романтизм і реалізм, до руху й взаємодії яких в основному й сходив літературний процес, то на межі століть вони переживають кризу й виникають нові течії, серед яких найзначнішими є натуралізм, імпресіонізм, неоромантизм і символ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ізм.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Неоромантизм (від гр. </w:t>
      </w:r>
      <w:r w:rsidRPr="00EF2924">
        <w:rPr>
          <w:rFonts w:ascii="Verdana" w:eastAsia="Times New Roman" w:hAnsi="Verdana" w:cs="Times New Roman"/>
          <w:color w:val="000000"/>
          <w:sz w:val="24"/>
          <w:szCs w:val="24"/>
          <w:lang w:val="en-US" w:eastAsia="ru-RU"/>
        </w:rPr>
        <w:t>neos </w:t>
      </w: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— новий і романтизм) — умовна назва естетичних тенденцій, що виникли в літературі на межі XIX - XX ст. Представники неоромантизму, як і їхні попередники — романтики першої половини XIX ст., заперечували прозу «обивательського життя», оспівували мужність, подвиги, романтику пригод, часто обираючи тлом для своїх сюжетів екзотичні країни.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Характерний для неоромантизму герой — непересічна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сильна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особистість, нерідко наділена рисами «надлюдини»; вигнанець, що протистоїть більшості; шукач романтики й пригод. Сюжетам неоромантичних творів притаманні гостра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напружен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ість, елементи небезпеки, боротьби, фантастики. Неоромантичні тенденції простежуються у творчості Дж. Конрада, Р. Кі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пл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інга, Р. Л. Стівенсона, А. Конан Дойля, Е. Л. Войнич, Г. Ібсена, Джека Лондона, М. Гумільова та інших письменників.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Натуралізм — напрям у літературі й мистецтві, що набув поширення на межі XIX - XX ст. і характеризувався настановами на фотографічно точне відображення дійсності та осмислення особистості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кр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ізь призму її біологічної і соціальної зумовленості. Натуралісти прагли перенести в художню творчість принципи наукового дослідження, наполягаючи на тотожності письменницької творчості праці вченого. У Франції натуралізм мав свого головного теоретика й надзвичайно продуктивного практика Е. Золя, а також талановитих прихильників — письменникі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в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братів Е. і Ж. Гонкурів, А. До де та інших.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2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Імпресіонізм (від фр. враження) — художній напрям, що виник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у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друг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ій половині XIX ст. і заснований на принципі безпосередньої фіксації вражень, спостережень, співпереживань. Зародившись живописі, він згодом поширився в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л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ітературі та інших видах мистецтва. Термін «імпресіонізм» уперше був використаний із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р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ізко негативним значенням для критичної оцінки картини Клода Моне Враження. Схід сонця».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Імпресіоністи намагалися відтворити витончені особисті враження та спостереження миттєвих відчуттів і переживань, зафіксувати мінливі ефекти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св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ітла й кольору. Недаремно один із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досл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ідників ауважив, що вони, на відміну від своїх попередників, неначе замінили у фотоапараті звичайну чорно-білу плівку на надчутливу кольорову.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Імпресіоністи часто зображували не сам предмет, а особисті або чиїсь враження від нього. Так, письменники-імпресіоністи брати Едмон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і Ж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уль Гонкур стверджували: «Бачити, відчувати, виражати — у цьому все мистецтво». Тому не дивно, що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вони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переважно орієнтувалися не на розум читача-глядача, а на його почуття.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lastRenderedPageBreak/>
        <w:t>На відміну від інших художніх систем, предметом мистецької зацікавленості в імпресіоні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ст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ів стають уривчасті фрагменти, відображені у свідомості персонажа.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Ц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ікавий факт: один із художників-мпресіоністів пояснював своїм учням суть цього мистецького явища так: він заводив їх до темної майстерні й попереджав, що зараз на секунду ввімкне світло, а вони мали потім відтворити на папері ті деталі та враження (імпресії), які кожному з них запам’ятатися в цю мить «осяяння». Це напрочуд подібне до настанов Антона Чехова: «В описі природи треба зображувати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др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ібні деталі, групуючи їх так, щоб після прочитання, коли заплющиш очі, поставала картина. Наприклад, у тебе виникне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карти на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місячної ночі, якщо ти напишеш, що на греблі яскравою зірочкою блиснуло скельце від розбитої пляшки й покотилася кулею чорна тінь собаки або вовка».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Засновниками літературного імпресіонізму є вже згадані брати Гонкур. Його ознаки притаманні також творчості Поля Верлена, Оскара Уайльда, Гі де Мопассана, Марселя Пруста, Кнута Гамсуна, Антона Чехова, Михайла Коцюбинського та ін.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Не дивно, що за такої уваги до суб’єктивного сприйняття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св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іту митцем (який зображує «те, що бачить, і лише так, як він бачить»), створення враження на читача, вплив не на його інтелект, а на почуття імпресіонізм був естетично подібним до символізму.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Символізм — це напрям у європейському мистецтві (зокрема, літературі) останньої третини XIX - початку XX ст., що виник у Франції й поширився в багатьох країнах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св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іту (зокрема, в Україні). Попри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св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ій новаторський (ранньомодерністський) характер, він мав давнє й глибоке філософське підґрунтя. Так, деякі ідеї, що знайшли художнє втілення в літературі символізму, належали ще давньогрецькому філософ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у-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ідеалісту Платону (V ст. до н. є.), який стверджував, що, крім реального, видимого світу, є ще й невидимий, вищий «світ ідей», до якого треба намагатися проникнути.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У другій половині XIX ст. в Німеччині (Ф. Ніцше), Франції (А. Бергсон) та інших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країнах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виникла «філософія життя» — філософська течія, для представників якої головним було поняття «життя» — цілісна реальність, яка може осягатися інтуїтивно і не є тотожною ані духу, ані матерії. Можливість раціонального (від раціо — розум)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п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ізнання світу вкотре ставилася під сумнів, тому актуалізувалося дослідження ірраціональних процесів. Необхідними ставали пошуки нових (модерних) шляхів пізнання всього того, що не підлягає пізнанню розумом: за допомогою натяку, інтуїції, символу. Цю непросту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п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ізнавально-виражальну функцію взяла на себе художня література, оскільки письменники завжди вирізнялися творчою інтуїцією, здатністю проникати в глибини людської душі. Це той «філософський ґрунт», який став основою символізму.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Однією з причин виникнення цього напряму було прагнення митців «відвернутися від реального світу» і спрямувати свої творчі зусилля «на осягнення й вираження трансцендентних, тобто таких, що перебувають поза чуттєвим сприйняттям і досвідом, власне, потойбічних сутностей і </w:t>
      </w: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lastRenderedPageBreak/>
        <w:t xml:space="preserve">таїн». І з цим важко не погодитися, особливо коли читаєш деякі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твори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поетів-символістів. Є й інші причини виникнення такого могутнього мистецького явища, як символізм. «Сучасні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досл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ідники пов’язують символізм, — зауважує український літературознавець Д. Наливайко, — з істотними змінами у світосприйманні, що відбувалися на зламі сторіч, із зростанням у ньому ролі абстракцій і знаковості... Відбувається вивільнення безсвідом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о-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інтуїтивного, настроєвого і пошуки його неопосередкованого вираження, сугестивного слова, що діє поза «сенсами», «музикально» передає переживання, настрої, душевні стани».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Якщо наш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св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іт неможливо осягнути розумом, якщо його можна збагнути лише інтуїтивно, на рівні підсвідомості, то найкращим засобом для цього є знак — символ (від гр. умовний знак, натяк). Російський поет-символі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ст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і філософ В. Іванов на початку XX ст., у період розквіту російського символізму, «успадкованого із Заходу» (О. Блок), віднайшов формулу, яка стала хрестоматійною: «Символ є справжнім символом лише тоді, коли він невичерпний і безмежний у своєму значенні, коли він промовляє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своєю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таємною мовою натяку й навіювання щось невимовне, неадекватне зовнішньому слову. Він багатоликий, багатозначний і завжди темний в останній глибині». Як, наприклад,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однозначно й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логічно розтлумачити такий поетичний рядок відомого французького поета-символіста Артюра Рембо: «Рожево плакала зірниця в серці вух...»? Тож закономірно, що символ починає відігравати вирішальну роль у художній системі символізму.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Символісти прагнули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кр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ізь видиму реальність пізнати «приховану (трансцендентну)», ідеальну сутність світу, його нетлінну красу. Основою їхньої естетики є ідеалістичне розуміння навколишнього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св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іту. Згадане поняття про два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св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іти, згідно з яким світ, даний нам у відчуттях (який молота сприйняти «сенсорно»: побачити, почути, відчути на дотик тощо), — це лише тінь, ширма, «символ» того світу ідей, який недосяжний людському розуму, але може бути вгаданий інтуїтивно. Тому символісти вбачали своє художнє завдання не у відтворенні реальності, а в натяку на приховані, невидимі ідеї. У цьому символізм завжди протистояв реалізму й натуралізму, які намагалися зобразити й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досл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ідити реальну дійсність.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У знаменитому «Маніфесті символізму» (1886) французький поет Жан Мореас стверджу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є,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що пряме зображення реальності, побуту спроможне лише «ковзати на поверхні життя», не проникаючи в його глибини, у саму сутність. І лише за допомогою символу-натяку митець спроможний «прорватися за межі», осягнути «таємниці світу» інтуїтивно. Отже, завдання поета-символіста — не розповісти про той загадковий «ідеальний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св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іт» (бо зробити це, мабуть, неможливо), а натякнути на нього за допомогою символів.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На думку символі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ст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ів, поет має стати ясновидцем, пророком, своєрідним медіумом (посередником, провідником) між ідеальним і реальним світами.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Вони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вважали, що не треба закладати й шукати в </w:t>
      </w: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lastRenderedPageBreak/>
        <w:t xml:space="preserve">художній літературі якогось раціонального змісту. Навіть значення слів (першоелементу літератури) їх не цікавило, часто вони його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св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ідомо, принципово ігнорували.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Головним для них була музика слова й навіть звуків (яку так важко зберегти в перекладах).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Звідси знамените Верленове: «Про музику лиш треба дбати...» або: «Найперше — музика у слові...» («Мистецтво поетичне»), прагнення «про неясне говорити неясно» і заохочення не до обмірковування та шліфування творів, а до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спонтанного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виявлення поетичної уяви. Узагалі символісти вважали, що завдання справжньої поезії — вплив на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п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ідсвідомість людини, навіювання (сугестія).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У прагненні до заколисування читача, зменшення інформативно-розповідної функції поетичної мови й одночасної активізації сугестивної функції символісти своє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р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ідно поверталися до першоджерел словесного мистецтва, коли слово супроводжувало обряд і мало магічний потенціал.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Для символізму важливою була також «теорія відповідностей», що базувалася на ві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р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 в наявність прихованої від пересічного людського розуму системи «відповідностей» між душевними станами людини і «знаками» їх виявлення у видимому світі. Поетичне втілення цієї теорії — сонет Шарля Бодлера, якого вважають предтечею символізму: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162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Природа — храм живий, де зронюють колони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162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Бентежні стогони і неясні слова.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162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Там символів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л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іси густі, немов трава,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162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Кр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ізь них людина йде, і в них людина тоне.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162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Всі барви й кольори, всі аромати й тони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162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Зливаються в могуть єдиного єства,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162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Їх зрівноважують співмірність і права,</w:t>
      </w:r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162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Взаємного зв’язку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невидим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 закони...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(«Відповідності».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Пер. Д. Павличка)</w:t>
      </w:r>
      <w:proofErr w:type="gramEnd"/>
    </w:p>
    <w:p w:rsidR="00EF2924" w:rsidRPr="00EF2924" w:rsidRDefault="00EF2924" w:rsidP="00EF2924">
      <w:pPr>
        <w:shd w:val="clear" w:color="auto" w:fill="FFFFCC"/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Остаточне утвердження символізму в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л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ітературі пов’язують із творчістю Поля Верлена, Артюра Рембо та Стефана Малларме (хоча самі вони й не вважали себе символістами). У їхніх літературних творах можна виокремити такі спільні риси: прагнення до інтуїтивного </w:t>
      </w:r>
      <w:proofErr w:type="gramStart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п</w:t>
      </w:r>
      <w:proofErr w:type="gramEnd"/>
      <w:r w:rsidRPr="00EF2924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ізнання світу через символ, заперечення раціоналістичних засад творчості, абсолютизацію музичності поетичного слова, мінімізацію інформаційно-розповідної функції мови на користь вільного поетичного самовираження.</w:t>
      </w:r>
    </w:p>
    <w:p w:rsidR="00056081" w:rsidRDefault="00EF2924" w:rsidP="00EF2924">
      <w:r w:rsidRPr="00EF2924">
        <w:rPr>
          <w:rFonts w:ascii="Tahoma" w:eastAsia="Times New Roman" w:hAnsi="Tahoma" w:cs="Tahoma"/>
          <w:color w:val="000000"/>
          <w:sz w:val="24"/>
          <w:szCs w:val="24"/>
          <w:shd w:val="clear" w:color="auto" w:fill="FFFFCC"/>
          <w:lang w:eastAsia="ru-RU"/>
        </w:rPr>
        <w:t>﻿</w:t>
      </w:r>
      <w:bookmarkStart w:id="0" w:name="_GoBack"/>
      <w:bookmarkEnd w:id="0"/>
    </w:p>
    <w:sectPr w:rsidR="00056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924"/>
    <w:rsid w:val="00056081"/>
    <w:rsid w:val="00EF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2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292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2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29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5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2430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Lora</dc:creator>
  <cp:lastModifiedBy>Lora</cp:lastModifiedBy>
  <cp:revision>1</cp:revision>
  <dcterms:created xsi:type="dcterms:W3CDTF">2018-02-26T20:45:00Z</dcterms:created>
  <dcterms:modified xsi:type="dcterms:W3CDTF">2018-02-26T20:47:00Z</dcterms:modified>
</cp:coreProperties>
</file>