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0000FF"/>
          <w:sz w:val="48"/>
          <w:szCs w:val="48"/>
        </w:rPr>
        <w:t>Последовательное подчинение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4"/>
          <w:rFonts w:ascii="Helvetica" w:hAnsi="Helvetica" w:cs="Helvetica"/>
          <w:color w:val="800000"/>
          <w:sz w:val="36"/>
          <w:szCs w:val="36"/>
        </w:rPr>
        <w:t>Последовательное подчинение</w:t>
      </w:r>
      <w:r>
        <w:rPr>
          <w:rFonts w:ascii="Helvetica" w:hAnsi="Helvetica" w:cs="Helvetica"/>
          <w:color w:val="2D3B45"/>
          <w:sz w:val="36"/>
          <w:szCs w:val="36"/>
        </w:rPr>
        <w:t> — </w:t>
      </w:r>
      <w:r>
        <w:rPr>
          <w:rFonts w:ascii="Helvetica" w:hAnsi="Helvetica" w:cs="Helvetica"/>
          <w:color w:val="2D3B45"/>
          <w:sz w:val="27"/>
          <w:szCs w:val="27"/>
        </w:rPr>
        <w:t>это подчинение</w:t>
      </w:r>
      <w:r>
        <w:rPr>
          <w:rFonts w:ascii="Helvetica" w:hAnsi="Helvetica" w:cs="Helvetica"/>
          <w:color w:val="2D3B45"/>
          <w:sz w:val="36"/>
          <w:szCs w:val="36"/>
        </w:rPr>
        <w:t>,</w:t>
      </w:r>
      <w:r>
        <w:rPr>
          <w:rFonts w:ascii="Helvetica" w:hAnsi="Helvetica" w:cs="Helvetica"/>
          <w:color w:val="2D3B45"/>
          <w:sz w:val="16"/>
          <w:szCs w:val="16"/>
        </w:rPr>
        <w:t> </w:t>
      </w:r>
      <w:r>
        <w:rPr>
          <w:rFonts w:ascii="Helvetica" w:hAnsi="Helvetica" w:cs="Helvetica"/>
          <w:color w:val="2D3B45"/>
          <w:sz w:val="27"/>
          <w:szCs w:val="27"/>
        </w:rPr>
        <w:t>при котором придаточные предложения располагаются цепочкой: придаточное 1-й степени зависит от главной части сложноподчинённого предложения; придаточное 2-й степени зависит от придаточного 1-й степени; придаточное 3-й степени — от придаточного 2-й степени и т. д.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27"/>
          <w:szCs w:val="27"/>
        </w:rPr>
        <w:t>Обобщённая схема таких предложений такова: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jc w:val="center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noProof/>
          <w:color w:val="2D3B45"/>
          <w:sz w:val="16"/>
          <w:szCs w:val="16"/>
        </w:rPr>
        <w:drawing>
          <wp:inline distT="0" distB="0" distL="0" distR="0">
            <wp:extent cx="647700" cy="1454150"/>
            <wp:effectExtent l="19050" t="0" r="0" b="0"/>
            <wp:docPr id="1" name="Рисунок 1" descr="Последовательное подчин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следовательное подчинени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jc w:val="center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27"/>
          <w:szCs w:val="27"/>
        </w:rPr>
        <w:t> 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16"/>
          <w:szCs w:val="16"/>
        </w:rPr>
        <w:t>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noProof/>
          <w:color w:val="2D3B45"/>
          <w:sz w:val="16"/>
          <w:szCs w:val="16"/>
        </w:rPr>
        <w:lastRenderedPageBreak/>
        <w:drawing>
          <wp:inline distT="0" distB="0" distL="0" distR="0">
            <wp:extent cx="3473450" cy="2787650"/>
            <wp:effectExtent l="19050" t="0" r="0" b="0"/>
            <wp:docPr id="2" name="Рисунок 2" descr="Подчине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чинение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78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2D3B45"/>
          <w:sz w:val="16"/>
          <w:szCs w:val="16"/>
        </w:rPr>
        <w:t>                 </w:t>
      </w:r>
      <w:r>
        <w:rPr>
          <w:rFonts w:ascii="Helvetica" w:hAnsi="Helvetica" w:cs="Helvetica"/>
          <w:noProof/>
          <w:color w:val="2D3B45"/>
          <w:sz w:val="16"/>
          <w:szCs w:val="16"/>
        </w:rPr>
        <w:drawing>
          <wp:inline distT="0" distB="0" distL="0" distR="0">
            <wp:extent cx="3289300" cy="3924300"/>
            <wp:effectExtent l="19050" t="0" r="6350" b="0"/>
            <wp:docPr id="3" name="Рисунок 3" descr="Подчинение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дчинение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2D3B45"/>
          <w:sz w:val="16"/>
          <w:szCs w:val="16"/>
        </w:rPr>
        <w:t>  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4"/>
          <w:rFonts w:ascii="Helvetica" w:hAnsi="Helvetica" w:cs="Helvetica"/>
          <w:color w:val="FF0000"/>
          <w:sz w:val="36"/>
          <w:szCs w:val="36"/>
          <w:u w:val="single"/>
        </w:rPr>
        <w:t>Возьмите на заметку!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27"/>
          <w:szCs w:val="27"/>
        </w:rPr>
        <w:t>1. Если в сложноподчинённом предложении оказываются рядом союзы (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что</w:t>
      </w:r>
      <w:r>
        <w:rPr>
          <w:rFonts w:ascii="Helvetica" w:hAnsi="Helvetica" w:cs="Helvetica"/>
          <w:color w:val="2D3B45"/>
          <w:sz w:val="27"/>
          <w:szCs w:val="27"/>
        </w:rPr>
        <w:t> и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если</w:t>
      </w:r>
      <w:r>
        <w:rPr>
          <w:rFonts w:ascii="Helvetica" w:hAnsi="Helvetica" w:cs="Helvetica"/>
          <w:color w:val="2D3B45"/>
          <w:sz w:val="27"/>
          <w:szCs w:val="27"/>
        </w:rPr>
        <w:t>,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что</w:t>
      </w:r>
      <w:r>
        <w:rPr>
          <w:rFonts w:ascii="Helvetica" w:hAnsi="Helvetica" w:cs="Helvetica"/>
          <w:color w:val="2D3B45"/>
          <w:sz w:val="27"/>
          <w:szCs w:val="27"/>
        </w:rPr>
        <w:t> и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хотя</w:t>
      </w:r>
      <w:r>
        <w:rPr>
          <w:rFonts w:ascii="Helvetica" w:hAnsi="Helvetica" w:cs="Helvetica"/>
          <w:color w:val="2D3B45"/>
          <w:sz w:val="27"/>
          <w:szCs w:val="27"/>
        </w:rPr>
        <w:t> и т. п.), то между союзами </w:t>
      </w:r>
      <w:r>
        <w:rPr>
          <w:rStyle w:val="a4"/>
          <w:rFonts w:ascii="Helvetica" w:hAnsi="Helvetica" w:cs="Helvetica"/>
          <w:color w:val="2D3B45"/>
          <w:sz w:val="27"/>
          <w:szCs w:val="27"/>
        </w:rPr>
        <w:t>ставится</w:t>
      </w:r>
      <w:r>
        <w:rPr>
          <w:rFonts w:ascii="Helvetica" w:hAnsi="Helvetica" w:cs="Helvetica"/>
          <w:color w:val="2D3B45"/>
          <w:sz w:val="27"/>
          <w:szCs w:val="27"/>
        </w:rPr>
        <w:t> запятая.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27"/>
          <w:szCs w:val="27"/>
        </w:rPr>
        <w:t>Запятая </w:t>
      </w:r>
      <w:r>
        <w:rPr>
          <w:rStyle w:val="a4"/>
          <w:rFonts w:ascii="Helvetica" w:hAnsi="Helvetica" w:cs="Helvetica"/>
          <w:color w:val="2D3B45"/>
          <w:sz w:val="27"/>
          <w:szCs w:val="27"/>
        </w:rPr>
        <w:t>не ставится</w:t>
      </w:r>
      <w:r>
        <w:rPr>
          <w:rFonts w:ascii="Helvetica" w:hAnsi="Helvetica" w:cs="Helvetica"/>
          <w:color w:val="2D3B45"/>
          <w:sz w:val="27"/>
          <w:szCs w:val="27"/>
        </w:rPr>
        <w:t>, если дальше имеется </w:t>
      </w:r>
      <w:r>
        <w:rPr>
          <w:rStyle w:val="a4"/>
          <w:rFonts w:ascii="Helvetica" w:hAnsi="Helvetica" w:cs="Helvetica"/>
          <w:color w:val="2D3B45"/>
          <w:sz w:val="27"/>
          <w:szCs w:val="27"/>
        </w:rPr>
        <w:t>вторая часть союза</w:t>
      </w:r>
      <w:r>
        <w:rPr>
          <w:rFonts w:ascii="Helvetica" w:hAnsi="Helvetica" w:cs="Helvetica"/>
          <w:color w:val="2D3B45"/>
          <w:sz w:val="27"/>
          <w:szCs w:val="27"/>
        </w:rPr>
        <w:t> —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то</w:t>
      </w:r>
      <w:r>
        <w:rPr>
          <w:rFonts w:ascii="Helvetica" w:hAnsi="Helvetica" w:cs="Helvetica"/>
          <w:color w:val="2D3B45"/>
          <w:sz w:val="27"/>
          <w:szCs w:val="27"/>
        </w:rPr>
        <w:t> или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так</w:t>
      </w:r>
      <w:r>
        <w:rPr>
          <w:rFonts w:ascii="Helvetica" w:hAnsi="Helvetica" w:cs="Helvetica"/>
          <w:color w:val="2D3B45"/>
          <w:sz w:val="27"/>
          <w:szCs w:val="27"/>
        </w:rPr>
        <w:t>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5"/>
          <w:rFonts w:ascii="Helvetica" w:hAnsi="Helvetica" w:cs="Helvetica"/>
          <w:color w:val="008000"/>
          <w:sz w:val="27"/>
          <w:szCs w:val="27"/>
        </w:rPr>
        <w:t>Мы понимаем,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что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если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погода не изменится, поездку придётся отложить.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5"/>
          <w:rFonts w:ascii="Helvetica" w:hAnsi="Helvetica" w:cs="Helvetica"/>
          <w:color w:val="008000"/>
          <w:sz w:val="27"/>
          <w:szCs w:val="27"/>
        </w:rPr>
        <w:t>Мы понимаем,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что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если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погода не изменится,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то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поездку придётся отложить.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Fonts w:ascii="Helvetica" w:hAnsi="Helvetica" w:cs="Helvetica"/>
          <w:color w:val="2D3B45"/>
          <w:sz w:val="27"/>
          <w:szCs w:val="27"/>
        </w:rPr>
        <w:lastRenderedPageBreak/>
        <w:t>2. Предыдущее правило применяется и в сложных предложениях, состоящих из нескольких простых, связанных между собой различными видами связи. Если рядом оказываются сочинительный и подчинительный союзы, то между ними </w:t>
      </w:r>
      <w:r>
        <w:rPr>
          <w:rStyle w:val="a4"/>
          <w:rFonts w:ascii="Helvetica" w:hAnsi="Helvetica" w:cs="Helvetica"/>
          <w:color w:val="2D3B45"/>
          <w:sz w:val="27"/>
          <w:szCs w:val="27"/>
        </w:rPr>
        <w:t>ставится</w:t>
      </w:r>
      <w:r>
        <w:rPr>
          <w:rFonts w:ascii="Helvetica" w:hAnsi="Helvetica" w:cs="Helvetica"/>
          <w:color w:val="2D3B45"/>
          <w:sz w:val="27"/>
          <w:szCs w:val="27"/>
        </w:rPr>
        <w:t> запятая тогда, когда после придаточного </w:t>
      </w:r>
      <w:r>
        <w:rPr>
          <w:rStyle w:val="a4"/>
          <w:rFonts w:ascii="Helvetica" w:hAnsi="Helvetica" w:cs="Helvetica"/>
          <w:color w:val="2D3B45"/>
          <w:sz w:val="27"/>
          <w:szCs w:val="27"/>
        </w:rPr>
        <w:t>нет</w:t>
      </w:r>
      <w:r>
        <w:rPr>
          <w:rFonts w:ascii="Helvetica" w:hAnsi="Helvetica" w:cs="Helvetica"/>
          <w:color w:val="2D3B45"/>
          <w:sz w:val="27"/>
          <w:szCs w:val="27"/>
        </w:rPr>
        <w:t> второй части двойного союза (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то, так</w:t>
      </w:r>
      <w:r>
        <w:rPr>
          <w:rFonts w:ascii="Helvetica" w:hAnsi="Helvetica" w:cs="Helvetica"/>
          <w:color w:val="2D3B45"/>
          <w:sz w:val="27"/>
          <w:szCs w:val="27"/>
        </w:rPr>
        <w:t>) или союза </w:t>
      </w:r>
      <w:r>
        <w:rPr>
          <w:rStyle w:val="a5"/>
          <w:rFonts w:ascii="Helvetica" w:hAnsi="Helvetica" w:cs="Helvetica"/>
          <w:b/>
          <w:bCs/>
          <w:color w:val="2D3B45"/>
          <w:sz w:val="27"/>
          <w:szCs w:val="27"/>
        </w:rPr>
        <w:t>но</w:t>
      </w:r>
      <w:r>
        <w:rPr>
          <w:rFonts w:ascii="Helvetica" w:hAnsi="Helvetica" w:cs="Helvetica"/>
          <w:color w:val="2D3B45"/>
          <w:sz w:val="27"/>
          <w:szCs w:val="27"/>
        </w:rPr>
        <w:t>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5"/>
          <w:rFonts w:ascii="Helvetica" w:hAnsi="Helvetica" w:cs="Helvetica"/>
          <w:color w:val="008000"/>
          <w:sz w:val="27"/>
          <w:szCs w:val="27"/>
        </w:rPr>
        <w:t>Налетели тучи,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и, когда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мы вбежали в дом, начался дождь.</w:t>
      </w:r>
    </w:p>
    <w:p w:rsidR="00CE3C8C" w:rsidRDefault="00CE3C8C" w:rsidP="00CE3C8C">
      <w:pPr>
        <w:pStyle w:val="a3"/>
        <w:shd w:val="clear" w:color="auto" w:fill="FFFFFF"/>
        <w:spacing w:before="120" w:beforeAutospacing="0" w:after="120" w:afterAutospacing="0"/>
        <w:rPr>
          <w:rFonts w:ascii="Helvetica" w:hAnsi="Helvetica" w:cs="Helvetica"/>
          <w:color w:val="2D3B45"/>
          <w:sz w:val="16"/>
          <w:szCs w:val="16"/>
        </w:rPr>
      </w:pPr>
      <w:r>
        <w:rPr>
          <w:rStyle w:val="a5"/>
          <w:rFonts w:ascii="Helvetica" w:hAnsi="Helvetica" w:cs="Helvetica"/>
          <w:color w:val="008000"/>
          <w:sz w:val="27"/>
          <w:szCs w:val="27"/>
        </w:rPr>
        <w:t>Налетели тучи, </w:t>
      </w:r>
      <w:r>
        <w:rPr>
          <w:rStyle w:val="a4"/>
          <w:rFonts w:ascii="Helvetica" w:hAnsi="Helvetica" w:cs="Helvetica"/>
          <w:i/>
          <w:iCs/>
          <w:color w:val="008000"/>
          <w:sz w:val="27"/>
          <w:szCs w:val="27"/>
        </w:rPr>
        <w:t>и когда</w:t>
      </w:r>
      <w:r>
        <w:rPr>
          <w:rStyle w:val="a5"/>
          <w:rFonts w:ascii="Helvetica" w:hAnsi="Helvetica" w:cs="Helvetica"/>
          <w:color w:val="008000"/>
          <w:sz w:val="27"/>
          <w:szCs w:val="27"/>
        </w:rPr>
        <w:t> мы вбежали в дом, то начался дождь.</w:t>
      </w:r>
    </w:p>
    <w:p w:rsidR="00A3550C" w:rsidRDefault="00A3550C"/>
    <w:sectPr w:rsidR="00A35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E3C8C"/>
    <w:rsid w:val="00A3550C"/>
    <w:rsid w:val="00CE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E3C8C"/>
    <w:rPr>
      <w:b/>
      <w:bCs/>
    </w:rPr>
  </w:style>
  <w:style w:type="character" w:styleId="a5">
    <w:name w:val="Emphasis"/>
    <w:basedOn w:val="a0"/>
    <w:uiPriority w:val="20"/>
    <w:qFormat/>
    <w:rsid w:val="00CE3C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E3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2018-01-29T14:52:00Z</dcterms:created>
  <dcterms:modified xsi:type="dcterms:W3CDTF">2018-01-29T14:53:00Z</dcterms:modified>
</cp:coreProperties>
</file>